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B26F3" w14:paraId="46E2FD2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4D9DFF" w14:textId="77777777" w:rsidR="005B26F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DB2FEBA" w14:textId="77777777" w:rsidR="005B26F3" w:rsidRDefault="00000000">
            <w:pPr>
              <w:spacing w:after="0" w:line="240" w:lineRule="auto"/>
            </w:pPr>
            <w:r>
              <w:t>8842</w:t>
            </w:r>
          </w:p>
        </w:tc>
      </w:tr>
      <w:tr w:rsidR="005B26F3" w14:paraId="1CBFDA9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16F4B3" w14:textId="77777777" w:rsidR="005B26F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4B63298" w14:textId="77777777" w:rsidR="005B26F3" w:rsidRDefault="00000000">
            <w:pPr>
              <w:spacing w:after="0" w:line="240" w:lineRule="auto"/>
            </w:pPr>
            <w:r>
              <w:t>OSNOVNA ŠKOLA "IVAN GORAN KOVAČIĆ"</w:t>
            </w:r>
          </w:p>
        </w:tc>
      </w:tr>
      <w:tr w:rsidR="005B26F3" w14:paraId="78A1C4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30D55B" w14:textId="77777777" w:rsidR="005B26F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775AE04" w14:textId="77777777" w:rsidR="005B26F3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10A4466" w14:textId="77777777" w:rsidR="005B26F3" w:rsidRDefault="00000000">
      <w:r>
        <w:br/>
      </w:r>
    </w:p>
    <w:p w14:paraId="31EEEF79" w14:textId="77777777" w:rsidR="005B26F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665B685" w14:textId="77777777" w:rsidR="005B26F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717E3AE" w14:textId="77777777" w:rsidR="005B26F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868278" w14:textId="77777777" w:rsidR="005B26F3" w:rsidRDefault="005B26F3"/>
    <w:p w14:paraId="454823F7" w14:textId="77777777" w:rsidR="005B26F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98838F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7E65F9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BF41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F1866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7F44B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3C92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9745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1729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4114B2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40F0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172DD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02A4D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3B7A5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1.849.311,81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91AE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2.088.717,75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A8B74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  <w:tr w:rsidR="005B26F3" w14:paraId="628D97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FF03F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071F5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0B260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7D5B4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1.842.624,67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E4983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2.206.844,88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6E860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  <w:tr w:rsidR="005B26F3" w14:paraId="767A6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C5DCD" w14:textId="77777777" w:rsidR="005B26F3" w:rsidRDefault="005B26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768E0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F265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E2CE5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D38DD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118.127,13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B50E0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26F3" w14:paraId="0B7A65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E38E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29EE54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8E26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1A995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3AD1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538A2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6F3" w14:paraId="6CFE19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23135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6AEF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25AF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7D85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481E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38.995,04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8B9D5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271,2</w:t>
            </w:r>
          </w:p>
        </w:tc>
      </w:tr>
      <w:tr w:rsidR="005B26F3" w14:paraId="2ED08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C51C5" w14:textId="77777777" w:rsidR="005B26F3" w:rsidRDefault="005B26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9F4DE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3BDB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10F5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14.376,24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71104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38.995,04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4A31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271,2</w:t>
            </w:r>
          </w:p>
        </w:tc>
      </w:tr>
      <w:tr w:rsidR="005B26F3" w14:paraId="541312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014B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78C91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87996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D19F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A6548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C76B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6F3" w14:paraId="5F507E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AAEE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417D4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2E015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B44B9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829E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DAB4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6F3" w14:paraId="517480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AD820" w14:textId="77777777" w:rsidR="005B26F3" w:rsidRDefault="005B26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217B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3D9DC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9B0BB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DA75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8767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26F3" w14:paraId="527BEE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DCCF8" w14:textId="77777777" w:rsidR="005B26F3" w:rsidRDefault="005B26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D4E16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995E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8BF1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8D9E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157.122,17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D7F5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2043,4</w:t>
            </w:r>
          </w:p>
        </w:tc>
      </w:tr>
    </w:tbl>
    <w:p w14:paraId="778AA3C9" w14:textId="77777777" w:rsidR="005B26F3" w:rsidRDefault="005B26F3">
      <w:pPr>
        <w:spacing w:after="0"/>
      </w:pPr>
    </w:p>
    <w:p w14:paraId="1CBA491D" w14:textId="77777777" w:rsidR="005B26F3" w:rsidRDefault="00000000">
      <w:r>
        <w:t>Osnovna škola Ivan Goran Kovačić Duga Resa ostvaruje prihode poslovanja od:</w:t>
      </w:r>
    </w:p>
    <w:p w14:paraId="31939103" w14:textId="77777777" w:rsidR="005B26F3" w:rsidRDefault="00000000">
      <w:r>
        <w:t>- Ministarstva znanosti, obrazovanja i mladih za plaće, materijalna prava,  prijevoz zaposlenika, mentorstvo i  sredstva za ŽSV ,</w:t>
      </w:r>
    </w:p>
    <w:p w14:paraId="052EF1C4" w14:textId="77777777" w:rsidR="005B26F3" w:rsidRDefault="00000000">
      <w:r>
        <w:t> - Karlovačke županije za redovno poslovanje ustanove, energente, županijska natjecanja, pomoćnike u nastavi</w:t>
      </w:r>
    </w:p>
    <w:p w14:paraId="74FD9F3A" w14:textId="77777777" w:rsidR="005B26F3" w:rsidRDefault="00000000">
      <w:r>
        <w:lastRenderedPageBreak/>
        <w:t>- Grada Duga Rese za plaću učiteljici u produženom boravku,</w:t>
      </w:r>
    </w:p>
    <w:p w14:paraId="40D268A9" w14:textId="77777777" w:rsidR="005B26F3" w:rsidRDefault="00000000">
      <w:r>
        <w:t xml:space="preserve">- Općine Bosiljevo za plaće odgajateljica - prihoda za posebne namjene: prihodi uplaćeni za produženi boravak  i program </w:t>
      </w:r>
      <w:proofErr w:type="spellStart"/>
      <w:r>
        <w:t>predškole</w:t>
      </w:r>
      <w:proofErr w:type="spellEnd"/>
    </w:p>
    <w:p w14:paraId="6305E725" w14:textId="77777777" w:rsidR="005B26F3" w:rsidRDefault="00000000">
      <w:r>
        <w:t xml:space="preserve">- </w:t>
      </w:r>
      <w:proofErr w:type="spellStart"/>
      <w:r>
        <w:t>vlastih</w:t>
      </w:r>
      <w:proofErr w:type="spellEnd"/>
      <w:r>
        <w:t xml:space="preserve"> prihoda koje škola ostvaruje od školske kuhinje i zakupa prostora.  </w:t>
      </w:r>
    </w:p>
    <w:p w14:paraId="748168C7" w14:textId="77777777" w:rsidR="005B26F3" w:rsidRDefault="00000000">
      <w:r>
        <w:t xml:space="preserve">Rashodi za zaposlene su rashodi za plaće i materijalna prava. Rashodi su veći u odnosu na 2024. godinu a razlog tome je knjiženje plaće za mjesec prosinac na </w:t>
      </w:r>
      <w:proofErr w:type="spellStart"/>
      <w:r>
        <w:t>rashodea</w:t>
      </w:r>
      <w:proofErr w:type="spellEnd"/>
      <w:r>
        <w:t xml:space="preserve"> ne na kontinuirane rashode budućih razdoblja.</w:t>
      </w:r>
    </w:p>
    <w:p w14:paraId="239DA18A" w14:textId="77777777" w:rsidR="005B26F3" w:rsidRDefault="00000000">
      <w:r>
        <w:t xml:space="preserve">Materijalni rashodi odnose se na troškove stručnih usavršavanja zaposlenika, materijalnih rashoda potrebnih za redovito poslovanje, energente, zdravstvene preglede zaposlenika. Rashodi za nabavu </w:t>
      </w:r>
      <w:proofErr w:type="spellStart"/>
      <w:r>
        <w:t>neproizvedene</w:t>
      </w:r>
      <w:proofErr w:type="spellEnd"/>
      <w:r>
        <w:t xml:space="preserve"> dugotrajne imovine su rashodi za izradu projektne dokumentacije za potrebe izgradnje dvorane.</w:t>
      </w:r>
    </w:p>
    <w:p w14:paraId="714AFFB9" w14:textId="77777777" w:rsidR="005B26F3" w:rsidRDefault="00000000">
      <w:r>
        <w:t>  Razlog velikog manjka je što se novim Pravilnikom o izmjenama i dopunama Pravilnika o proračunskom računovodstvu i Računskom planu, plaća za mjesec prosinac knjiži na rashode, a ne kao prethodnih godina, na konto 193-kontinuirani rashodi budućih razdoblja. Plaća za mjesec prosinac iznosi 135.173,36€.</w:t>
      </w:r>
    </w:p>
    <w:p w14:paraId="65415F2E" w14:textId="77777777" w:rsidR="005B26F3" w:rsidRDefault="00000000">
      <w:r>
        <w:br/>
      </w:r>
    </w:p>
    <w:p w14:paraId="17ED5509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1F0CB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3EE46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8A92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E201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149C1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7243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5272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5E56DC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E5989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DBA2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A6A4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B8A38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2662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6B26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548,8</w:t>
            </w:r>
          </w:p>
        </w:tc>
      </w:tr>
    </w:tbl>
    <w:p w14:paraId="4543E4BD" w14:textId="77777777" w:rsidR="005B26F3" w:rsidRDefault="005B26F3">
      <w:pPr>
        <w:spacing w:after="0"/>
      </w:pPr>
    </w:p>
    <w:p w14:paraId="58AB0B96" w14:textId="77777777" w:rsidR="005B26F3" w:rsidRDefault="00000000">
      <w:r>
        <w:t>Novina u poslovanju je priprema hrane za Osnovnu školu Generalski Stol, pa su i prihodi poslovanja veći.</w:t>
      </w:r>
    </w:p>
    <w:p w14:paraId="34E86D08" w14:textId="77777777" w:rsidR="005B26F3" w:rsidRDefault="005B26F3"/>
    <w:p w14:paraId="53ABA931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2C68F1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69C1B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FB9CE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819B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00B8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7FA4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9A91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4E8000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96E64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CD5C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14EBD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68BA5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186.092,05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7EA6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230.519,82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7FA0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14:paraId="1FACFC38" w14:textId="77777777" w:rsidR="005B26F3" w:rsidRDefault="005B26F3">
      <w:pPr>
        <w:spacing w:after="0"/>
      </w:pPr>
    </w:p>
    <w:p w14:paraId="4A54A817" w14:textId="77777777" w:rsidR="005B26F3" w:rsidRDefault="00000000">
      <w:r>
        <w:t>Prihodi su veći zbog ostvarivanja prihoda za projektnu dokumentaciju dvorane</w:t>
      </w:r>
    </w:p>
    <w:p w14:paraId="2CC15997" w14:textId="77777777" w:rsidR="005B26F3" w:rsidRDefault="005B26F3"/>
    <w:p w14:paraId="1096CA87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602D8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45A4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77F2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6BC1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A7090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CEC40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025F8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43EE00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9A35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B51C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D736B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1C32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1.517.239,60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9D0D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1.830.013,70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CCDB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1CA2F3AD" w14:textId="77777777" w:rsidR="005B26F3" w:rsidRDefault="005B26F3">
      <w:pPr>
        <w:spacing w:after="0"/>
      </w:pPr>
    </w:p>
    <w:p w14:paraId="326AF6D6" w14:textId="77777777" w:rsidR="005B26F3" w:rsidRDefault="00000000">
      <w:r>
        <w:t>Rashodi za zaposlene su puno veći jer se plaća za 12/2025 knjiži na rashode poslovanja a ne na kontinuirane rashode budućih razdoblja.</w:t>
      </w:r>
    </w:p>
    <w:p w14:paraId="4C8C320E" w14:textId="77777777" w:rsidR="005B26F3" w:rsidRDefault="005B26F3"/>
    <w:p w14:paraId="39691369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2E35E6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A723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BB3D8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F2A7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D6F5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4974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D17C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65A15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CED27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2D307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66F8F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2ADB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52.638,58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04857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66.791,82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3DDD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7940CBF7" w14:textId="77777777" w:rsidR="005B26F3" w:rsidRDefault="005B26F3">
      <w:pPr>
        <w:spacing w:after="0"/>
      </w:pPr>
    </w:p>
    <w:p w14:paraId="45DDB958" w14:textId="77777777" w:rsidR="005B26F3" w:rsidRDefault="00000000">
      <w:r>
        <w:t>Naknade za prijevoz zaposlenika su povećane jer su zaposleni djelatnici iz većih udaljenosti od škole.</w:t>
      </w:r>
    </w:p>
    <w:p w14:paraId="661C2D1F" w14:textId="77777777" w:rsidR="005B26F3" w:rsidRDefault="005B26F3"/>
    <w:p w14:paraId="61FBFB64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6C201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81235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F3DC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2539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E70B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7360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FCB8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6764BC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8678E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97D71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E1D2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08D52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A792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78CE3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727,5</w:t>
            </w:r>
          </w:p>
        </w:tc>
      </w:tr>
    </w:tbl>
    <w:p w14:paraId="1EA80FDF" w14:textId="77777777" w:rsidR="005B26F3" w:rsidRDefault="005B26F3">
      <w:pPr>
        <w:spacing w:after="0"/>
      </w:pPr>
    </w:p>
    <w:p w14:paraId="3075A69E" w14:textId="77777777" w:rsidR="005B26F3" w:rsidRDefault="00000000">
      <w:r>
        <w:t>U 2025. godini, više je djelatnika išlo na stručno usavršavanje</w:t>
      </w:r>
    </w:p>
    <w:p w14:paraId="2C85D59D" w14:textId="77777777" w:rsidR="005B26F3" w:rsidRDefault="005B26F3"/>
    <w:p w14:paraId="2560B630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476D3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A143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69EC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7255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0790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F2C0E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9BEE6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112B9B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9FA0A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A3C4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675A9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CAB62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7CA63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42.667,14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BEE24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187,6</w:t>
            </w:r>
          </w:p>
        </w:tc>
      </w:tr>
    </w:tbl>
    <w:p w14:paraId="50E8C520" w14:textId="77777777" w:rsidR="005B26F3" w:rsidRDefault="005B26F3">
      <w:pPr>
        <w:spacing w:after="0"/>
      </w:pPr>
    </w:p>
    <w:p w14:paraId="0CDF3053" w14:textId="77777777" w:rsidR="005B26F3" w:rsidRDefault="00000000">
      <w:r>
        <w:t>Rashodi energije povećani su zbog izgradnje dvorane te porasta cijena energije.</w:t>
      </w:r>
    </w:p>
    <w:p w14:paraId="694D8F81" w14:textId="77777777" w:rsidR="005B26F3" w:rsidRDefault="005B26F3"/>
    <w:p w14:paraId="5F874045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326DD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9934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4AA9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156D8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D7D3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8FA7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DD1F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6D8B96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5E7EC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F2BF1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582EA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BEDA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7E9D1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12.365,17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1D6D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140,3</w:t>
            </w:r>
          </w:p>
        </w:tc>
      </w:tr>
    </w:tbl>
    <w:p w14:paraId="1F15ABE9" w14:textId="77777777" w:rsidR="005B26F3" w:rsidRDefault="005B26F3">
      <w:pPr>
        <w:spacing w:after="0"/>
      </w:pPr>
    </w:p>
    <w:p w14:paraId="1D70D001" w14:textId="77777777" w:rsidR="005B26F3" w:rsidRDefault="00000000">
      <w:r>
        <w:t>Rashodi za usluge e tehničara, rashodi predavača na ŽSV-u, troškovi zdravstvenog voditelja</w:t>
      </w:r>
    </w:p>
    <w:p w14:paraId="0BE87F59" w14:textId="77777777" w:rsidR="005B26F3" w:rsidRDefault="005B26F3"/>
    <w:p w14:paraId="716A29A8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29675C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D184E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A2EFF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9AB21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6D73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A7A91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D11F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18644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BC6F7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CFBAC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FDEC2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19A30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4D18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6A9F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167,8</w:t>
            </w:r>
          </w:p>
        </w:tc>
      </w:tr>
    </w:tbl>
    <w:p w14:paraId="59A3C693" w14:textId="77777777" w:rsidR="005B26F3" w:rsidRDefault="005B26F3">
      <w:pPr>
        <w:spacing w:after="0"/>
      </w:pPr>
    </w:p>
    <w:p w14:paraId="7B05CF76" w14:textId="77777777" w:rsidR="005B26F3" w:rsidRDefault="00000000">
      <w:r>
        <w:t xml:space="preserve">Rashodi su veći zbog održavanja dodatne licence </w:t>
      </w:r>
      <w:proofErr w:type="spellStart"/>
      <w:r>
        <w:t>Infomare</w:t>
      </w:r>
      <w:proofErr w:type="spellEnd"/>
      <w:r>
        <w:t>-a.</w:t>
      </w:r>
    </w:p>
    <w:p w14:paraId="28F4EECF" w14:textId="77777777" w:rsidR="005B26F3" w:rsidRDefault="005B26F3"/>
    <w:p w14:paraId="577A484D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7C17B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4884B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D6250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725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BBD21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3993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ABBE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2B2B0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9B00C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839333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2F95F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5964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37A7D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ECC92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404,8</w:t>
            </w:r>
          </w:p>
        </w:tc>
      </w:tr>
    </w:tbl>
    <w:p w14:paraId="2BF71D33" w14:textId="77777777" w:rsidR="005B26F3" w:rsidRDefault="005B26F3">
      <w:pPr>
        <w:spacing w:after="0"/>
      </w:pPr>
    </w:p>
    <w:p w14:paraId="4227F768" w14:textId="77777777" w:rsidR="005B26F3" w:rsidRDefault="00000000">
      <w:r>
        <w:t>Rashodi su veći zbog dokupa električne energije za potrebe dvorane</w:t>
      </w:r>
    </w:p>
    <w:p w14:paraId="124B2E5F" w14:textId="77777777" w:rsidR="005B26F3" w:rsidRDefault="005B26F3"/>
    <w:p w14:paraId="693EA0F7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2FB57C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21540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5F2D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223F5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A3F86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3E97E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183AD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0FCF98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9E61F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E254D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9E659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6A2F9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6FE9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38.995,04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2331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271,2</w:t>
            </w:r>
          </w:p>
        </w:tc>
      </w:tr>
    </w:tbl>
    <w:p w14:paraId="2A27E1AD" w14:textId="77777777" w:rsidR="005B26F3" w:rsidRDefault="005B26F3">
      <w:pPr>
        <w:spacing w:after="0"/>
      </w:pPr>
    </w:p>
    <w:p w14:paraId="570974B3" w14:textId="77777777" w:rsidR="005B26F3" w:rsidRDefault="00000000">
      <w:r>
        <w:t>Rashod se odnosi na trošak projektne dokumentacije za dvoranu, premještanje kablova, udžbenici za učenike.</w:t>
      </w:r>
    </w:p>
    <w:p w14:paraId="20CEE27A" w14:textId="77777777" w:rsidR="005B26F3" w:rsidRDefault="005B26F3"/>
    <w:p w14:paraId="3BD327EE" w14:textId="77777777" w:rsidR="005B26F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EAFA57C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77ECD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5F9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BD9A8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9C58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C323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F8E8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C628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7DC912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C6469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4E2F1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30660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86E03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13A77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CA4BF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</w:t>
            </w:r>
          </w:p>
        </w:tc>
      </w:tr>
    </w:tbl>
    <w:p w14:paraId="25C81357" w14:textId="77777777" w:rsidR="005B26F3" w:rsidRDefault="005B26F3">
      <w:pPr>
        <w:spacing w:after="0"/>
      </w:pPr>
    </w:p>
    <w:p w14:paraId="079AA462" w14:textId="77777777" w:rsidR="005B26F3" w:rsidRDefault="00000000">
      <w:r>
        <w:t>S 01.01.2025. obveze za bolovanje na teret HZZO-a su sa konta 23958 prebačene na konto 27612</w:t>
      </w:r>
    </w:p>
    <w:p w14:paraId="52A10AC8" w14:textId="77777777" w:rsidR="005B26F3" w:rsidRDefault="005B26F3"/>
    <w:p w14:paraId="072789EE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7D6C6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318D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C145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45412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A1EE9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0D1E5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124C5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1C607D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8A491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E364D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609D4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3EC66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-3.171,37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0CB7D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-160.293,54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B4A5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5054,4</w:t>
            </w:r>
          </w:p>
        </w:tc>
      </w:tr>
    </w:tbl>
    <w:p w14:paraId="3CCE598F" w14:textId="77777777" w:rsidR="005B26F3" w:rsidRDefault="005B26F3">
      <w:pPr>
        <w:spacing w:after="0"/>
      </w:pPr>
    </w:p>
    <w:p w14:paraId="534E8616" w14:textId="77777777" w:rsidR="005B26F3" w:rsidRDefault="00000000">
      <w:r>
        <w:t>Veliki manjak prihoda nastao je iz razloga što se plaća za 12. mjesec 2025. godine knjiži kao rashod poslovanja 2025. godine a prihod za plaću biti će ostvaren u siječnju 2026. godine.</w:t>
      </w:r>
    </w:p>
    <w:p w14:paraId="067ACA3F" w14:textId="77777777" w:rsidR="005B26F3" w:rsidRDefault="005B26F3"/>
    <w:p w14:paraId="2FAD749B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6F3" w14:paraId="65A2A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F2E1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8ACCE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A435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7092B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7B446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BD2CC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1C5C9F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568B8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F2B9F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91EE6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31082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130.961,51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D127D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152.685,73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AEEEC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28598AA6" w14:textId="77777777" w:rsidR="005B26F3" w:rsidRDefault="005B26F3">
      <w:pPr>
        <w:spacing w:after="0"/>
      </w:pPr>
    </w:p>
    <w:p w14:paraId="0E28C512" w14:textId="77777777" w:rsidR="005B26F3" w:rsidRDefault="00000000">
      <w:r>
        <w:t>U prethodnoj godini dio 23N je iznosio 133.540,97€. Sukladno odluci s 01.01.2025. zatvoren je račun 23958 a obveze su prebačene na 27612.</w:t>
      </w:r>
    </w:p>
    <w:p w14:paraId="4D1CF0F2" w14:textId="77777777" w:rsidR="005B26F3" w:rsidRDefault="005B26F3"/>
    <w:p w14:paraId="6A545099" w14:textId="77777777" w:rsidR="005B26F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A4F1DF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26F3" w14:paraId="04ACC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FCE41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87013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0684A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D9B20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4F5F7" w14:textId="77777777" w:rsidR="005B26F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6F3" w14:paraId="445836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D9F1E" w14:textId="77777777" w:rsidR="005B26F3" w:rsidRDefault="005B26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E3DFB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C983A" w14:textId="77777777" w:rsidR="005B26F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8E54E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18.184,42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19B1A" w14:textId="77777777" w:rsidR="005B26F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2AB328" w14:textId="77777777" w:rsidR="005B26F3" w:rsidRDefault="005B26F3">
      <w:pPr>
        <w:spacing w:after="0"/>
      </w:pPr>
    </w:p>
    <w:p w14:paraId="0C27B471" w14:textId="77777777" w:rsidR="005B26F3" w:rsidRDefault="00000000">
      <w:r>
        <w:t>Stanje dospjelih obveza rezultat su zakašnjelih računa koji nisu plaćeni, a odnose se na 20258. godinu. To su rashodi za prehranu učenika u školi, prehranu učenika u produženom boravku</w:t>
      </w:r>
    </w:p>
    <w:p w14:paraId="6A41FB49" w14:textId="77777777" w:rsidR="005B26F3" w:rsidRDefault="005B26F3"/>
    <w:p w14:paraId="00520E1E" w14:textId="77777777" w:rsidR="005B26F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p w14:paraId="66F44C45" w14:textId="77777777" w:rsidR="005B26F3" w:rsidRDefault="00000000">
      <w:pPr>
        <w:spacing w:line="240" w:lineRule="auto"/>
        <w:jc w:val="both"/>
      </w:pPr>
      <w:r>
        <w:rPr>
          <w:b/>
        </w:rPr>
        <w:t>EU izvještaj</w:t>
      </w:r>
    </w:p>
    <w:p w14:paraId="451ED5D3" w14:textId="77777777" w:rsidR="005B26F3" w:rsidRDefault="00000000">
      <w:r>
        <w:t>U 2025. godini financirani su pomoćnici u nastavi iz izvora 561 i 50.</w:t>
      </w:r>
    </w:p>
    <w:p w14:paraId="4AFDD0F3" w14:textId="77777777" w:rsidR="005B26F3" w:rsidRDefault="00000000">
      <w:r>
        <w:t>Ukupni prihodi na izvoru 561 iznose 35.316,02 a rashodi za plaće 35.110,08€ i rashodi za zdravstvene usluge 220,00€</w:t>
      </w:r>
    </w:p>
    <w:p w14:paraId="0645D731" w14:textId="77777777" w:rsidR="005B26F3" w:rsidRDefault="00000000">
      <w:r>
        <w:t>Ukupni prihodi na izvoru 50 iznose 15.840,73€ a rashodi za plaće 17.994,05, te rashodi za prijevoz 1.312,90€</w:t>
      </w:r>
    </w:p>
    <w:p w14:paraId="405D2F45" w14:textId="77777777" w:rsidR="005B26F3" w:rsidRDefault="00000000">
      <w:r>
        <w:t> </w:t>
      </w:r>
    </w:p>
    <w:p w14:paraId="51EB33F2" w14:textId="77777777" w:rsidR="005B26F3" w:rsidRDefault="00000000">
      <w:r>
        <w:t>U 2025. godini ostvareni su prihodi iz izvora 581 u iznosu 13.800,00€ te rashodi za poslovne objekte u iznosu od 13.800,00€</w:t>
      </w:r>
    </w:p>
    <w:p w14:paraId="4734A880" w14:textId="77777777" w:rsidR="005B26F3" w:rsidRDefault="005B26F3"/>
    <w:sectPr w:rsidR="005B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F3"/>
    <w:rsid w:val="00075D29"/>
    <w:rsid w:val="005B26F3"/>
    <w:rsid w:val="00F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87B7"/>
  <w15:docId w15:val="{151F1F32-05E7-48CA-A785-D4558FF5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 Sigmund</cp:lastModifiedBy>
  <cp:revision>2</cp:revision>
  <cp:lastPrinted>2026-02-13T11:51:00Z</cp:lastPrinted>
  <dcterms:created xsi:type="dcterms:W3CDTF">2026-02-13T11:53:00Z</dcterms:created>
  <dcterms:modified xsi:type="dcterms:W3CDTF">2026-02-13T11:53:00Z</dcterms:modified>
</cp:coreProperties>
</file>